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978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529"/>
        <w:gridCol w:w="4252"/>
      </w:tblGrid>
      <w:tr w:rsidR="00646805" w:rsidTr="00234F9C">
        <w:trPr>
          <w:trHeight w:val="1797"/>
          <w:tblCellSpacing w:w="0" w:type="dxa"/>
        </w:trPr>
        <w:tc>
          <w:tcPr>
            <w:tcW w:w="5529" w:type="dxa"/>
            <w:vAlign w:val="center"/>
          </w:tcPr>
          <w:p w:rsidR="00646805" w:rsidRDefault="00646805" w:rsidP="004B695E">
            <w:pPr>
              <w:spacing w:line="160" w:lineRule="atLeast"/>
              <w:rPr>
                <w:rFonts w:ascii="Tahoma" w:hAnsi="Tahoma" w:cs="Tahoma"/>
                <w:color w:val="5B5844"/>
                <w:sz w:val="13"/>
                <w:szCs w:val="13"/>
              </w:rPr>
            </w:pPr>
          </w:p>
        </w:tc>
        <w:tc>
          <w:tcPr>
            <w:tcW w:w="4252" w:type="dxa"/>
          </w:tcPr>
          <w:p w:rsidR="003E7C57" w:rsidRDefault="003E7C57" w:rsidP="00234F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46805" w:rsidRDefault="003E7C57" w:rsidP="00234F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646805" w:rsidRPr="007518AD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46805" w:rsidRPr="007518AD">
              <w:rPr>
                <w:rFonts w:ascii="Times New Roman" w:hAnsi="Times New Roman" w:cs="Times New Roman"/>
                <w:sz w:val="28"/>
                <w:szCs w:val="28"/>
              </w:rPr>
              <w:t xml:space="preserve"> ГКУ «ОСЗН </w:t>
            </w:r>
            <w:r w:rsidR="00646805">
              <w:rPr>
                <w:rFonts w:ascii="Times New Roman" w:hAnsi="Times New Roman" w:cs="Times New Roman"/>
                <w:sz w:val="28"/>
                <w:szCs w:val="28"/>
              </w:rPr>
              <w:t xml:space="preserve">Советского </w:t>
            </w:r>
            <w:r w:rsidR="00646805" w:rsidRPr="007518AD">
              <w:rPr>
                <w:rFonts w:ascii="Times New Roman" w:hAnsi="Times New Roman" w:cs="Times New Roman"/>
                <w:sz w:val="28"/>
                <w:szCs w:val="28"/>
              </w:rPr>
              <w:t xml:space="preserve">района города </w:t>
            </w:r>
            <w:r w:rsidR="00234F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46805" w:rsidRPr="007518AD">
              <w:rPr>
                <w:rFonts w:ascii="Times New Roman" w:hAnsi="Times New Roman" w:cs="Times New Roman"/>
                <w:sz w:val="28"/>
                <w:szCs w:val="28"/>
              </w:rPr>
              <w:t>рянска»</w:t>
            </w:r>
          </w:p>
          <w:p w:rsidR="00646805" w:rsidRPr="007518AD" w:rsidRDefault="00646805" w:rsidP="00234F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E7C57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Pr="007518AD">
              <w:rPr>
                <w:rFonts w:ascii="Times New Roman" w:hAnsi="Times New Roman" w:cs="Times New Roman"/>
                <w:sz w:val="28"/>
                <w:szCs w:val="28"/>
              </w:rPr>
              <w:t xml:space="preserve">.2015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7518A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E7C57">
              <w:rPr>
                <w:rFonts w:ascii="Times New Roman" w:hAnsi="Times New Roman" w:cs="Times New Roman"/>
                <w:sz w:val="28"/>
                <w:szCs w:val="28"/>
              </w:rPr>
              <w:t xml:space="preserve"> 157</w:t>
            </w:r>
          </w:p>
          <w:p w:rsidR="00646805" w:rsidRDefault="00646805" w:rsidP="006468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46805" w:rsidRDefault="00646805" w:rsidP="004B695E">
            <w:pPr>
              <w:rPr>
                <w:rFonts w:ascii="Times New Roman" w:hAnsi="Times New Roman" w:cs="Times New Roman"/>
              </w:rPr>
            </w:pPr>
          </w:p>
          <w:p w:rsidR="00646805" w:rsidRDefault="00646805" w:rsidP="004B695E">
            <w:pPr>
              <w:spacing w:line="160" w:lineRule="atLeast"/>
              <w:rPr>
                <w:rFonts w:ascii="Tahoma" w:hAnsi="Tahoma" w:cs="Tahoma"/>
                <w:color w:val="5B5844"/>
                <w:sz w:val="13"/>
                <w:szCs w:val="13"/>
              </w:rPr>
            </w:pPr>
            <w:r>
              <w:rPr>
                <w:rFonts w:ascii="Tahoma" w:hAnsi="Tahoma" w:cs="Tahoma"/>
                <w:color w:val="5B5844"/>
                <w:sz w:val="13"/>
                <w:szCs w:val="13"/>
              </w:rPr>
              <w:t> </w:t>
            </w:r>
          </w:p>
        </w:tc>
      </w:tr>
    </w:tbl>
    <w:p w:rsidR="00646805" w:rsidRDefault="003E7C57" w:rsidP="00646805">
      <w:pPr>
        <w:widowControl w:val="0"/>
        <w:shd w:val="clear" w:color="auto" w:fill="FFFFFF"/>
        <w:adjustRightInd w:val="0"/>
        <w:spacing w:after="0"/>
        <w:ind w:right="62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Типовое п</w:t>
      </w:r>
      <w:r w:rsidR="006468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оложение</w:t>
      </w:r>
    </w:p>
    <w:p w:rsidR="00646805" w:rsidRDefault="00646805" w:rsidP="00646805">
      <w:pPr>
        <w:widowControl w:val="0"/>
        <w:shd w:val="clear" w:color="auto" w:fill="FFFFFF"/>
        <w:adjustRightInd w:val="0"/>
        <w:spacing w:after="0"/>
        <w:ind w:right="48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Комиссии по противодействию коррупции</w:t>
      </w:r>
    </w:p>
    <w:p w:rsidR="00646805" w:rsidRDefault="00646805" w:rsidP="00646805">
      <w:pPr>
        <w:widowControl w:val="0"/>
        <w:shd w:val="clear" w:color="auto" w:fill="FFFFFF"/>
        <w:adjustRightInd w:val="0"/>
        <w:spacing w:after="0"/>
        <w:ind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государственного казенного  учреждения </w:t>
      </w:r>
    </w:p>
    <w:p w:rsidR="00646805" w:rsidRDefault="00646805" w:rsidP="00646805">
      <w:pPr>
        <w:widowControl w:val="0"/>
        <w:shd w:val="clear" w:color="auto" w:fill="FFFFFF"/>
        <w:adjustRightInd w:val="0"/>
        <w:spacing w:after="0"/>
        <w:ind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«ОСЗН Советского района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. Брянска»,</w:t>
      </w:r>
    </w:p>
    <w:p w:rsidR="00646805" w:rsidRDefault="00646805" w:rsidP="00646805">
      <w:pPr>
        <w:widowControl w:val="0"/>
        <w:shd w:val="clear" w:color="auto" w:fill="FFFFFF"/>
        <w:adjustRightInd w:val="0"/>
        <w:spacing w:after="0"/>
        <w:ind w:right="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подведомственного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департаменту семьи, социальной и </w:t>
      </w:r>
    </w:p>
    <w:p w:rsidR="00646805" w:rsidRDefault="00646805" w:rsidP="00646805">
      <w:pPr>
        <w:widowControl w:val="0"/>
        <w:shd w:val="clear" w:color="auto" w:fill="FFFFFF"/>
        <w:adjustRightInd w:val="0"/>
        <w:spacing w:after="0"/>
        <w:ind w:right="53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демографической политики Брянской области.</w:t>
      </w:r>
    </w:p>
    <w:p w:rsidR="00646805" w:rsidRDefault="00646805" w:rsidP="00646805">
      <w:pPr>
        <w:widowControl w:val="0"/>
        <w:shd w:val="clear" w:color="auto" w:fill="FFFFFF"/>
        <w:adjustRightInd w:val="0"/>
        <w:spacing w:after="0"/>
        <w:ind w:right="53"/>
        <w:jc w:val="center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</w:p>
    <w:p w:rsidR="00646805" w:rsidRDefault="00646805" w:rsidP="00646805">
      <w:pPr>
        <w:keepNext/>
        <w:keepLines/>
        <w:widowControl w:val="0"/>
        <w:adjustRightInd w:val="0"/>
        <w:ind w:hanging="360"/>
        <w:jc w:val="center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     Общие положения</w:t>
      </w:r>
    </w:p>
    <w:p w:rsidR="00646805" w:rsidRDefault="00646805" w:rsidP="00646805">
      <w:pPr>
        <w:keepNext/>
        <w:keepLines/>
        <w:widowControl w:val="0"/>
        <w:adjustRightInd w:val="0"/>
        <w:spacing w:before="100" w:beforeAutospacing="1"/>
        <w:ind w:firstLine="709"/>
        <w:jc w:val="both"/>
        <w:outlineLvl w:val="0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1.1.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Настоящим   Положением   в   соответствии  с  Федеральным  законом от 25.12.2008 № 273-ФЗ «О противодействии коррупции», указом  Президента Российской Федерации от 11.04.2014 № 226 «О Национальном плане противодействия коррупции на 2014 - 2015 годы»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определяется порядок формирования и деятельности Комиссии по противодействию коррупции государственного казенного учреждения «Отдела социальной защиты населения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Фокинского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района города Брянска»</w:t>
      </w:r>
      <w:r>
        <w:rPr>
          <w:rFonts w:ascii="Times New Roman" w:hAnsi="Times New Roman" w:cs="Times New Roman"/>
          <w:i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(далее – Комиссия), подведомственного</w:t>
      </w:r>
      <w:r>
        <w:rPr>
          <w:rFonts w:ascii="Times New Roman" w:hAnsi="Times New Roman" w:cs="Times New Roman"/>
          <w:sz w:val="28"/>
          <w:szCs w:val="28"/>
        </w:rPr>
        <w:t xml:space="preserve"> департаменту семьи, социальной и демографической политики Брянской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- Департамент)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6805" w:rsidRDefault="00646805" w:rsidP="00646805">
      <w:pPr>
        <w:keepNext/>
        <w:keepLines/>
        <w:widowControl w:val="0"/>
        <w:adjustRightInd w:val="0"/>
        <w:spacing w:before="100" w:beforeAutospacing="1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Комиссии по противодействию коррупции (далее – комиссия) являются постоянно действующим коллегиальным совещательным органом, образованным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оказания содействия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государственному казенному учреждению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реализации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политики, </w:t>
      </w:r>
      <w:r>
        <w:rPr>
          <w:rFonts w:ascii="Times New Roman" w:hAnsi="Times New Roman" w:cs="Times New Roman"/>
          <w:sz w:val="28"/>
          <w:szCs w:val="28"/>
        </w:rPr>
        <w:t xml:space="preserve"> повышения эффективности принятия мер по противодействию коррупции, профилактике коррупционных факторов, а также минимизации причин и условий, порождающих коррупционные факторы в учреждении.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Комиссия в своей деятельности руководствуется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Конституцией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«О противодействии коррупции» и другими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Брянской области,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 также настоящим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Положением.</w:t>
      </w:r>
    </w:p>
    <w:p w:rsidR="00646805" w:rsidRPr="007518AD" w:rsidRDefault="00646805" w:rsidP="006468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 Положение о Комисс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утверждаются правовым актом руководителя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государственного учреждения.</w:t>
      </w:r>
    </w:p>
    <w:p w:rsidR="00646805" w:rsidRDefault="00646805" w:rsidP="00646805">
      <w:pPr>
        <w:spacing w:before="100" w:beforeAutospacing="1" w:after="100" w:afterAutospacing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1.5. В настоящем Положении применяются следующие основные термины и их определения:</w:t>
      </w:r>
    </w:p>
    <w:p w:rsidR="00646805" w:rsidRDefault="00646805" w:rsidP="0064680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Коррупция – умышленное использование государственным должностным или приравненным к нему лицом своего служебного положения и связанных с ним возможностей, сопряженное с противоправным получением имущества или другой выгоды в виде услуги, покровительства, обещания преимущества для себя или для третьих лиц, а равно подкуп государственного должностного или приравненного к нему лица, путем предоставления им имущества или другой выгоды в виде услуги, покровительства, обещания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преимущества для них или для третьих лиц с тем, чтобы это государственное должностное или приравненное к нему лицо совершили действия или воздержались от их совершения при исполнении своих служебных обязанностей.</w:t>
      </w:r>
    </w:p>
    <w:p w:rsidR="00646805" w:rsidRDefault="00646805" w:rsidP="0064680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Противодействие коррупции (борьба с коррупцией) – комплекс организационно-правовых, организационно-практических и иных мероприятий, направленных на предупреждение, выявление, пресечение коррупции и устранение ее последствий.</w:t>
      </w:r>
    </w:p>
    <w:p w:rsidR="00646805" w:rsidRDefault="00646805" w:rsidP="0064680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Коррупционные правонарушения в деятельности государственного казенного учреждения  – особенности осуществления в Учреждении управленческой, финансовой, хозяйственной и другой деятельности, которые создают благоприятные условия для коррупции, влекущие за собой дисциплинарную, административную, уголовную или иную ответственность.</w:t>
      </w:r>
    </w:p>
    <w:p w:rsidR="00646805" w:rsidRDefault="00646805" w:rsidP="00646805">
      <w:pPr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Субъекты коррупционных правонарушений - 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646805" w:rsidRDefault="00646805" w:rsidP="00CB63B5">
      <w:pPr>
        <w:pStyle w:val="msonormalcxspmiddle"/>
        <w:widowControl w:val="0"/>
        <w:adjustRightInd w:val="0"/>
        <w:ind w:hanging="360"/>
        <w:jc w:val="center"/>
        <w:rPr>
          <w:sz w:val="14"/>
          <w:szCs w:val="14"/>
        </w:rPr>
      </w:pPr>
      <w:r>
        <w:rPr>
          <w:b/>
          <w:sz w:val="28"/>
          <w:szCs w:val="28"/>
        </w:rPr>
        <w:t>2.     Основные задачи и полномочия Комиссии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 2.1. Основными задачами Комиссии являются: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подготовка предложений по выработке и реализации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государственным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разработка мероприятий по противодействию коррупции и 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реализацией;</w:t>
      </w:r>
    </w:p>
    <w:p w:rsidR="00646805" w:rsidRDefault="00646805" w:rsidP="00646805">
      <w:pPr>
        <w:ind w:firstLine="708"/>
        <w:jc w:val="both"/>
        <w:rPr>
          <w:rFonts w:ascii="Tahoma" w:hAnsi="Tahoma" w:cs="Tahoma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создания условий для снижения уровня коррупции в учреждении и предупреждения коррупционных правонарушений;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 выявление и устранение причин и условий, способствующих возникновению и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распространению проявлений коррупции в деятельности государственного учреждения;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-  координация деятельности структурных подразделений (работников)</w:t>
      </w:r>
      <w:r>
        <w:rPr>
          <w:sz w:val="28"/>
        </w:rPr>
        <w:t xml:space="preserve"> </w:t>
      </w:r>
      <w:r>
        <w:rPr>
          <w:rFonts w:ascii="Times New Roman" w:hAnsi="Times New Roman" w:cs="Times New Roman"/>
          <w:bCs/>
          <w:spacing w:val="-2"/>
          <w:sz w:val="28"/>
        </w:rPr>
        <w:t>государственного учреждения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по реализации </w:t>
      </w:r>
      <w:proofErr w:type="spellStart"/>
      <w:r>
        <w:rPr>
          <w:rFonts w:ascii="Times New Roman" w:hAnsi="Times New Roman" w:cs="Times New Roman"/>
          <w:sz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</w:rPr>
        <w:t xml:space="preserve"> политики;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единой системы информирования работников государственного учреждения по вопросам противодействия коррупции;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у работников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сознания, а также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поведения;</w:t>
      </w:r>
    </w:p>
    <w:p w:rsidR="00646805" w:rsidRDefault="00646805" w:rsidP="00646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формирование у работников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сознания, нетерпимого отношения к коррупционным проявлениям,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в сферах с повышенным риском коррупции;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рассмотрение обращений граждан и работников учреждения о фактах коррупционных проявлений;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правоохранительными органами, иными государственными органами, органами местного самоуправления, общественными организациями и средствами массовой информации по вопросам противодействия коррупции.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46805" w:rsidRDefault="00646805" w:rsidP="00646805">
      <w:pPr>
        <w:spacing w:after="10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Комиссия учреждения по противодействию коррупции: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участвует в разработке плана мероприятий по противодействию коррупции в учреждении (далее – план), р</w:t>
      </w:r>
      <w:r>
        <w:rPr>
          <w:rFonts w:ascii="Times New Roman" w:hAnsi="Times New Roman" w:cs="Times New Roman"/>
          <w:color w:val="333333"/>
          <w:sz w:val="28"/>
          <w:szCs w:val="28"/>
        </w:rPr>
        <w:t>ассматривает проекты планов мероприятий по противодействию коррупции (борьбе с коррупцией) в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осуществляет в пределах своей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плана в учреждении;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выявляет причины коррупции, разрабатывает и направляет руководителю учреждения рекомендации по устранению причин коррупции;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анализ обращений граждан на предмет наличия в них фактов коррупции;</w:t>
      </w:r>
    </w:p>
    <w:p w:rsidR="00646805" w:rsidRDefault="00646805" w:rsidP="00646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анализирует поступающую информацию (содержащуюся в т.ч. в обращениях граждан и юридических лиц, средствах массовой информации, включая сеть Интернет, сообщениях контролирующих, правоохранительных и других государственных органов) о фактах коррупции и иных нарушениях законодательства о борьбе с коррупцией;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разрабатывает рекомендации, направленные на улучшение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учреждения;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646805" w:rsidRDefault="00646805" w:rsidP="00646805">
      <w:pPr>
        <w:spacing w:before="100" w:after="10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рассматривает материалы проверок, проведенных в порядке внутрихозяйственного контроля, в ходе которых выявлены нарушения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646805" w:rsidRDefault="00646805" w:rsidP="00646805">
      <w:pPr>
        <w:spacing w:before="100" w:after="10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- при наличии достаточных данных, свидетельствующих о совершенных или готовящихся правонарушениях, связанных с коррупцией, вносит предложения о проведении:</w:t>
      </w:r>
    </w:p>
    <w:p w:rsidR="00646805" w:rsidRDefault="00646805" w:rsidP="00646805">
      <w:pPr>
        <w:spacing w:before="100" w:after="10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инвентаризаций;</w:t>
      </w:r>
    </w:p>
    <w:p w:rsidR="00646805" w:rsidRDefault="00646805" w:rsidP="00646805">
      <w:pPr>
        <w:spacing w:before="100" w:after="10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- проверок в порядке внутрихозяйственного контроля;</w:t>
      </w:r>
    </w:p>
    <w:p w:rsidR="00646805" w:rsidRDefault="00646805" w:rsidP="00646805">
      <w:pPr>
        <w:spacing w:before="100" w:after="100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- служебных проверок (служебного разбирательства);</w:t>
      </w:r>
    </w:p>
    <w:p w:rsidR="00646805" w:rsidRDefault="00646805" w:rsidP="0064680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информирует о выявленных Комиссией правонарушениях, создающих условия для коррупции, и коррупционных правонарушениях, иных нарушениях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законодательства;</w:t>
      </w:r>
    </w:p>
    <w:p w:rsidR="00646805" w:rsidRDefault="00646805" w:rsidP="0064680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 предложения о привлечении к дисциплинарной, материальной (возмещение ущерба) и иной ответственности работников, нарушивших 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законодательства, а также работников, бездействие которых способствовало этим нарушениям;</w:t>
      </w:r>
    </w:p>
    <w:p w:rsidR="00646805" w:rsidRDefault="00646805" w:rsidP="00646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комиссия принимает в пределах своей компетенции  решения по вопросам противодействия коррупции, а также осуществляет контроль реализации (исполнения) данных решений.</w:t>
      </w:r>
    </w:p>
    <w:p w:rsidR="00646805" w:rsidRDefault="00646805" w:rsidP="0064680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Комиссия для решения возложенных на нее задач имеет право: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на рассмотрение руководителя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совершенствованию деятельности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сфере противодействия коррупции;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информацию от структурных подразделений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>, государственных органов, органов местного самоуправления  и организаций по вопросам, относящимся к компетенции Комиссии;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заслушивать на заседаниях Комиссии руководителей структурных подразделений, работников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разрабатывать рекомендации для практического использования по предотвращению и профилактике коррупционных правонарушений 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муниципальном учреждении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участие в подготовке и организации выполнения локальных нормативных актов по вопросам, относящимся к компетенции Комиссии;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рассматривать поступившую информацию о проявлениях коррупции в муниципальном учреждении, подготавливать предложения по устранению и недопущению выявленных нарушений;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вносить предложения о привлечении к дисциплинарной ответственности работников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>, совершивших коррупционные правонарушения;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создавать временные рабочие группы по вопросам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политики;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привлекать в установленном порядке для участия в работе Комиссии представителей государственных органов, органов местного самоуправления и организаций.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ahoma" w:hAnsi="Tahoma" w:cs="Tahoma"/>
          <w:color w:val="FF0000"/>
          <w:sz w:val="28"/>
          <w:szCs w:val="28"/>
        </w:rPr>
        <w:t> </w:t>
      </w:r>
      <w:r>
        <w:rPr>
          <w:rFonts w:ascii="Tahoma" w:hAnsi="Tahoma" w:cs="Tahoma"/>
          <w:color w:val="FF0000"/>
          <w:sz w:val="28"/>
          <w:szCs w:val="28"/>
        </w:rPr>
        <w:tab/>
      </w:r>
      <w:r>
        <w:rPr>
          <w:rFonts w:ascii="Tahoma" w:hAnsi="Tahoma" w:cs="Tahoma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3.     Порядок формирования Комиссии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 3.1. Комиссия формируется в составе председателя комиссии, его заместителя, секретаря и членов комиссии. 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В состав Комиссии входят:</w:t>
      </w:r>
    </w:p>
    <w:p w:rsidR="00646805" w:rsidRDefault="00646805" w:rsidP="00646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заместитель руководителя государственного учреждения, работники кадровой службы, юридического (правового) подразделения, других подразделений государственного учреждения, определяемые его руководителем:</w:t>
      </w:r>
    </w:p>
    <w:p w:rsidR="00646805" w:rsidRDefault="00646805" w:rsidP="006468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руководитель (директор, начальник) учреждения или заместитель директора учреждения;</w:t>
      </w:r>
    </w:p>
    <w:p w:rsidR="00646805" w:rsidRDefault="00646805" w:rsidP="0064680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 заместитель директора или руководитель структурного подразделения учреждения;</w:t>
      </w:r>
    </w:p>
    <w:p w:rsidR="00646805" w:rsidRDefault="00646805" w:rsidP="0064680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должностное лицо, ответственное за ведение кадровой или правовой работы;</w:t>
      </w:r>
    </w:p>
    <w:p w:rsidR="00646805" w:rsidRDefault="00646805" w:rsidP="00646805">
      <w:pPr>
        <w:spacing w:after="1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646805" w:rsidRDefault="00646805" w:rsidP="00646805">
      <w:pPr>
        <w:spacing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работники других подразделений учреждения; 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представитель Департамента, осуществляющего функции и полномочия учредителя (по согласованию).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bookmarkStart w:id="0" w:name="sub_1009"/>
      <w:r>
        <w:rPr>
          <w:rFonts w:ascii="Times New Roman" w:hAnsi="Times New Roman" w:cs="Times New Roman"/>
          <w:sz w:val="28"/>
          <w:szCs w:val="28"/>
        </w:rPr>
        <w:t xml:space="preserve">Руководитель государственного учреждения может принять </w:t>
      </w:r>
      <w:hyperlink r:id="rId5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решение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включении в состав Комиссии:</w:t>
      </w:r>
      <w:bookmarkStart w:id="1" w:name="sub_10091"/>
      <w:bookmarkEnd w:id="0"/>
    </w:p>
    <w:p w:rsidR="00646805" w:rsidRDefault="00646805" w:rsidP="00646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представителей общественных объединений, научных и образовательных организаций;</w:t>
      </w:r>
    </w:p>
    <w:p w:rsidR="00646805" w:rsidRDefault="00646805" w:rsidP="006468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bookmarkStart w:id="2" w:name="sub_10093"/>
      <w:bookmarkEnd w:id="1"/>
      <w:r>
        <w:rPr>
          <w:rFonts w:ascii="Times New Roman" w:hAnsi="Times New Roman" w:cs="Times New Roman"/>
          <w:sz w:val="28"/>
          <w:szCs w:val="28"/>
        </w:rPr>
        <w:t>представителя профсоюзной организации, действующей в установленном порядке в государственном учреждении.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указанные в подпункте «б» пункта 3.2 и пункте 3.3 настоящего Положения, включаются в состав Комиссии в установленном порядке по согласованию с Департаментом, осуществляющим функции и полномочия учредителя, с общественными объединениями, научными и образовательными организациями, с профсоюзной организацией, действующей в установленном порядке в государственном учреждении, на основании запроса руководителя государственного учреждения. </w:t>
      </w:r>
      <w:proofErr w:type="gramEnd"/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3.5. Комиссия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sub_10132"/>
    </w:p>
    <w:p w:rsidR="00646805" w:rsidRPr="00BF22EA" w:rsidRDefault="00646805" w:rsidP="00646805">
      <w:pPr>
        <w:widowControl w:val="0"/>
        <w:adjustRightInd w:val="0"/>
        <w:spacing w:before="100" w:beforeAutospacing="1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A">
        <w:rPr>
          <w:rFonts w:ascii="Times New Roman" w:hAnsi="Times New Roman" w:cs="Times New Roman"/>
          <w:b/>
          <w:sz w:val="28"/>
          <w:szCs w:val="28"/>
        </w:rPr>
        <w:lastRenderedPageBreak/>
        <w:t>4.     Организация деятельности Комиссии</w:t>
      </w:r>
    </w:p>
    <w:p w:rsidR="00646805" w:rsidRDefault="00646805" w:rsidP="00646805">
      <w:pPr>
        <w:pStyle w:val="msonormalcxspmiddle"/>
        <w:widowControl w:val="0"/>
        <w:adjustRightInd w:val="0"/>
        <w:ind w:firstLine="709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4.1.          Деятельность Комиссии осуществляется в соответствии с примерными планами работы на календарный год, утверждаемыми на ее заседаниях. </w:t>
      </w:r>
    </w:p>
    <w:p w:rsidR="00646805" w:rsidRDefault="00646805" w:rsidP="00646805">
      <w:pPr>
        <w:pStyle w:val="msonormalcxspmiddle"/>
        <w:widowControl w:val="0"/>
        <w:adjustRightInd w:val="0"/>
        <w:ind w:firstLine="709"/>
        <w:jc w:val="both"/>
        <w:rPr>
          <w:sz w:val="14"/>
          <w:szCs w:val="14"/>
        </w:rPr>
      </w:pPr>
      <w:r>
        <w:rPr>
          <w:sz w:val="28"/>
          <w:szCs w:val="28"/>
        </w:rPr>
        <w:t>4.2.          Заседания Комиссии проводятся не реже двух раз в год. Внеочередные заседания Комиссии проводятся по мере необходимости по решению председателя комиссии на основании ходатайства любого члена комиссии.</w:t>
      </w:r>
    </w:p>
    <w:p w:rsidR="00646805" w:rsidRDefault="00646805" w:rsidP="00646805">
      <w:pPr>
        <w:pStyle w:val="msonormalcxspmiddle"/>
        <w:widowControl w:val="0"/>
        <w:adjustRightInd w:val="0"/>
        <w:ind w:firstLine="709"/>
        <w:jc w:val="both"/>
        <w:rPr>
          <w:sz w:val="14"/>
          <w:szCs w:val="14"/>
        </w:rPr>
      </w:pPr>
      <w:r>
        <w:rPr>
          <w:sz w:val="28"/>
          <w:szCs w:val="28"/>
        </w:rPr>
        <w:t>4.3.          Место, время проведения и повестку дня заседания определяет председатель комиссии. В отсутствие председателя комиссии его обязанности исполняет заместитель председателя комиссии.</w:t>
      </w:r>
    </w:p>
    <w:p w:rsidR="00646805" w:rsidRDefault="00646805" w:rsidP="00646805">
      <w:pPr>
        <w:pStyle w:val="msonormalcxspmiddle"/>
        <w:widowControl w:val="0"/>
        <w:adjustRightInd w:val="0"/>
        <w:ind w:firstLine="709"/>
        <w:jc w:val="both"/>
        <w:rPr>
          <w:sz w:val="14"/>
          <w:szCs w:val="14"/>
        </w:rPr>
      </w:pPr>
      <w:r>
        <w:rPr>
          <w:sz w:val="28"/>
          <w:szCs w:val="28"/>
        </w:rPr>
        <w:t xml:space="preserve">4.4.          Заседание Комиссии считается правомочным, если на нем присутствует не менее двух третей от общего числа членов комиссии. </w:t>
      </w:r>
    </w:p>
    <w:p w:rsidR="00646805" w:rsidRDefault="00646805" w:rsidP="00646805">
      <w:pPr>
        <w:pStyle w:val="msonormalcxspmiddle"/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         По решению председателя комиссии в заседаниях Комиссии с правом совещательного голоса могут участвовать другие работники государственного учреждения, представители государственных органов, органов местного самоуправления и организаций.</w:t>
      </w:r>
    </w:p>
    <w:p w:rsidR="00646805" w:rsidRDefault="00646805" w:rsidP="00646805">
      <w:pPr>
        <w:pStyle w:val="msonormalcxspmiddle"/>
        <w:widowControl w:val="0"/>
        <w:adjustRightInd w:val="0"/>
        <w:ind w:firstLine="709"/>
        <w:jc w:val="both"/>
        <w:rPr>
          <w:sz w:val="14"/>
          <w:szCs w:val="14"/>
        </w:rPr>
      </w:pPr>
      <w:r>
        <w:rPr>
          <w:sz w:val="28"/>
          <w:szCs w:val="28"/>
        </w:rPr>
        <w:t>4.6.          Организационно-техническое и документационное обеспечение деятельности Комиссии, а также информирование членов комиссии и других лиц, участвующих в заседании комиссии,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646805" w:rsidRDefault="00646805" w:rsidP="00646805">
      <w:pPr>
        <w:pStyle w:val="msonormalcxspmiddle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    Процедура принятия Комиссией решений</w:t>
      </w:r>
    </w:p>
    <w:p w:rsidR="00CB63B5" w:rsidRDefault="00CB63B5" w:rsidP="00646805">
      <w:pPr>
        <w:pStyle w:val="msonormalcxspmiddle"/>
        <w:adjustRightInd w:val="0"/>
        <w:contextualSpacing/>
        <w:jc w:val="center"/>
        <w:rPr>
          <w:sz w:val="14"/>
          <w:szCs w:val="14"/>
        </w:rPr>
      </w:pPr>
    </w:p>
    <w:p w:rsidR="00646805" w:rsidRDefault="00646805" w:rsidP="00646805">
      <w:pPr>
        <w:pStyle w:val="msonormalcxspmiddle"/>
        <w:adjustRightInd w:val="0"/>
        <w:contextualSpacing/>
        <w:jc w:val="both"/>
        <w:rPr>
          <w:sz w:val="14"/>
          <w:szCs w:val="14"/>
        </w:rPr>
      </w:pPr>
      <w:r>
        <w:rPr>
          <w:sz w:val="28"/>
          <w:szCs w:val="28"/>
        </w:rPr>
        <w:t>      5.1. Решения Комиссии носят рекомендательный характер и принимаются открытым голосованием (если Комиссия не примет иное решение) простым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5.2. Все члены комиссии при принятии решений обладают равными правами. 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5.3.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</w:p>
    <w:p w:rsidR="00646805" w:rsidRDefault="00646805" w:rsidP="00646805">
      <w:pPr>
        <w:pStyle w:val="msonormalcxspmiddle"/>
        <w:widowControl w:val="0"/>
        <w:adjustRightInd w:val="0"/>
        <w:ind w:hanging="360"/>
        <w:jc w:val="center"/>
        <w:rPr>
          <w:b/>
          <w:sz w:val="28"/>
          <w:szCs w:val="28"/>
        </w:rPr>
      </w:pPr>
    </w:p>
    <w:p w:rsidR="00646805" w:rsidRDefault="00646805" w:rsidP="00646805">
      <w:pPr>
        <w:pStyle w:val="msonormalcxspmiddle"/>
        <w:widowControl w:val="0"/>
        <w:adjustRightInd w:val="0"/>
        <w:ind w:hanging="360"/>
        <w:jc w:val="center"/>
        <w:rPr>
          <w:sz w:val="14"/>
          <w:szCs w:val="14"/>
        </w:rPr>
      </w:pPr>
      <w:r>
        <w:rPr>
          <w:b/>
          <w:sz w:val="28"/>
          <w:szCs w:val="28"/>
        </w:rPr>
        <w:t>6.     Оформление решений Комиссии</w:t>
      </w:r>
    </w:p>
    <w:p w:rsidR="00646805" w:rsidRDefault="00646805" w:rsidP="00646805">
      <w:pPr>
        <w:adjustRightInd w:val="0"/>
        <w:spacing w:before="100" w:beforeAutospacing="1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 </w:t>
      </w:r>
      <w:bookmarkStart w:id="4" w:name="sub_61"/>
      <w:r>
        <w:rPr>
          <w:rFonts w:ascii="Times New Roman" w:hAnsi="Times New Roman" w:cs="Times New Roman"/>
          <w:sz w:val="28"/>
          <w:szCs w:val="28"/>
        </w:rPr>
        <w:t>6.1. Решения Комиссии оформляются протоколами, которые подписывают члены комиссии, принимавшие участие в ее заседании.</w:t>
      </w:r>
    </w:p>
    <w:p w:rsidR="00646805" w:rsidRDefault="00646805" w:rsidP="00646805">
      <w:pPr>
        <w:widowControl w:val="0"/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Для исполнения решений Комиссии могут быть подготовлены проекты правовых актов, которые в установленном порядке представляются на рассмотрение руководителю государственного учреждения.</w:t>
      </w:r>
    </w:p>
    <w:p w:rsidR="00646805" w:rsidRDefault="00646805" w:rsidP="00646805">
      <w:pPr>
        <w:adjustRightInd w:val="0"/>
        <w:spacing w:before="100" w:beforeAutospacing="1"/>
        <w:ind w:firstLine="709"/>
        <w:jc w:val="both"/>
        <w:rPr>
          <w:rFonts w:ascii="Times New Roman" w:hAnsi="Times New Roman" w:cs="Times New Roman"/>
          <w:sz w:val="14"/>
          <w:szCs w:val="14"/>
        </w:rPr>
      </w:pPr>
      <w:bookmarkStart w:id="5" w:name="sub_62"/>
      <w:r>
        <w:rPr>
          <w:rFonts w:ascii="Times New Roman" w:hAnsi="Times New Roman" w:cs="Times New Roman"/>
          <w:sz w:val="28"/>
          <w:szCs w:val="28"/>
        </w:rPr>
        <w:t>6.3. В протоколе заседания Комиссии указываются:</w:t>
      </w:r>
      <w:bookmarkEnd w:id="5"/>
    </w:p>
    <w:p w:rsidR="00646805" w:rsidRDefault="00646805" w:rsidP="00646805">
      <w:pPr>
        <w:jc w:val="both"/>
        <w:rPr>
          <w:rFonts w:ascii="Times New Roman" w:hAnsi="Times New Roman" w:cs="Times New Roman"/>
        </w:rPr>
      </w:pPr>
      <w:r>
        <w:rPr>
          <w:rFonts w:ascii="Tahoma" w:hAnsi="Tahoma" w:cs="Tahoma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а) место и время проведения заседания Комиссии; </w:t>
      </w:r>
    </w:p>
    <w:p w:rsidR="00646805" w:rsidRDefault="00646805" w:rsidP="006468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)ф</w:t>
      </w:r>
      <w:proofErr w:type="gramEnd"/>
      <w:r>
        <w:rPr>
          <w:rFonts w:ascii="Times New Roman" w:hAnsi="Times New Roman" w:cs="Times New Roman"/>
          <w:sz w:val="28"/>
          <w:szCs w:val="28"/>
        </w:rPr>
        <w:t>амилии, имена, отчества членов комиссии и других лиц, присутствующих на заседании;</w:t>
      </w:r>
    </w:p>
    <w:p w:rsidR="00646805" w:rsidRDefault="00646805" w:rsidP="006468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в) повестка дня заседания Комиссии, содержание рассматриваемых вопросов и материалов;</w:t>
      </w:r>
    </w:p>
    <w:p w:rsidR="00646805" w:rsidRDefault="00646805" w:rsidP="006468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г) результаты голосования;</w:t>
      </w:r>
    </w:p>
    <w:p w:rsidR="00646805" w:rsidRDefault="00646805" w:rsidP="00646805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принятые Комиссией решения;</w:t>
      </w:r>
    </w:p>
    <w:p w:rsidR="00646805" w:rsidRDefault="00646805" w:rsidP="0064680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е) сведения о приобщенных к протоколу материалах.</w:t>
      </w:r>
    </w:p>
    <w:p w:rsidR="00646805" w:rsidRDefault="00646805" w:rsidP="00646805">
      <w:pPr>
        <w:adjustRightInd w:val="0"/>
        <w:spacing w:before="100" w:beforeAutospacing="1"/>
        <w:ind w:firstLine="72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>6.4. Копия протокола в течение трех рабочих дней со дня заседания направляется руководителю государственного учреждения, а также по решению Комиссии - иным заинтересованным лицам.</w:t>
      </w:r>
      <w:bookmarkEnd w:id="2"/>
      <w:bookmarkEnd w:id="3"/>
    </w:p>
    <w:p w:rsidR="00646805" w:rsidRDefault="00646805" w:rsidP="00646805">
      <w:pPr>
        <w:jc w:val="both"/>
      </w:pPr>
    </w:p>
    <w:p w:rsidR="00646805" w:rsidRDefault="00646805" w:rsidP="00646805">
      <w:pPr>
        <w:widowControl w:val="0"/>
        <w:shd w:val="clear" w:color="auto" w:fill="FFFFFF"/>
        <w:adjustRightInd w:val="0"/>
        <w:ind w:right="6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805" w:rsidRDefault="00646805" w:rsidP="00646805">
      <w:pPr>
        <w:widowControl w:val="0"/>
        <w:shd w:val="clear" w:color="auto" w:fill="FFFFFF"/>
        <w:adjustRightInd w:val="0"/>
        <w:ind w:right="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805" w:rsidRDefault="00646805" w:rsidP="00646805">
      <w:pPr>
        <w:widowControl w:val="0"/>
        <w:shd w:val="clear" w:color="auto" w:fill="FFFFFF"/>
        <w:adjustRightInd w:val="0"/>
        <w:ind w:right="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46805" w:rsidRDefault="00646805" w:rsidP="00646805">
      <w:pPr>
        <w:widowControl w:val="0"/>
        <w:shd w:val="clear" w:color="auto" w:fill="FFFFFF"/>
        <w:adjustRightInd w:val="0"/>
        <w:ind w:right="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3B66" w:rsidRPr="005E72E3" w:rsidRDefault="00803B66" w:rsidP="005E72E3"/>
    <w:sectPr w:rsidR="00803B66" w:rsidRPr="005E72E3" w:rsidSect="00B81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803B66"/>
    <w:rsid w:val="00234F9C"/>
    <w:rsid w:val="00315BF1"/>
    <w:rsid w:val="00317954"/>
    <w:rsid w:val="003E7C57"/>
    <w:rsid w:val="005E72E3"/>
    <w:rsid w:val="00646805"/>
    <w:rsid w:val="00687C3B"/>
    <w:rsid w:val="00803B66"/>
    <w:rsid w:val="00B8102F"/>
    <w:rsid w:val="00CB63B5"/>
    <w:rsid w:val="00E0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03B66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rsid w:val="00803B66"/>
    <w:pPr>
      <w:spacing w:after="140"/>
    </w:pPr>
  </w:style>
  <w:style w:type="paragraph" w:styleId="a5">
    <w:name w:val="List"/>
    <w:basedOn w:val="a4"/>
    <w:rsid w:val="00803B66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803B66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803B66"/>
    <w:pPr>
      <w:suppressLineNumbers/>
    </w:pPr>
    <w:rPr>
      <w:rFonts w:ascii="PT Sans" w:hAnsi="PT Sans" w:cs="Noto Sans Devanagari"/>
    </w:rPr>
  </w:style>
  <w:style w:type="paragraph" w:styleId="a7">
    <w:name w:val="No Spacing"/>
    <w:uiPriority w:val="1"/>
    <w:qFormat/>
    <w:rsid w:val="00AE4C11"/>
  </w:style>
  <w:style w:type="paragraph" w:customStyle="1" w:styleId="msonormalcxspmiddle">
    <w:name w:val="msonormalcxspmiddle"/>
    <w:basedOn w:val="a"/>
    <w:rsid w:val="00646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646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012718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15C63-63C5-447A-BCF9-55CD8E13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1972</Words>
  <Characters>11241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</dc:creator>
  <dc:description/>
  <cp:lastModifiedBy>Глыбина</cp:lastModifiedBy>
  <cp:revision>44</cp:revision>
  <dcterms:created xsi:type="dcterms:W3CDTF">2019-06-21T08:43:00Z</dcterms:created>
  <dcterms:modified xsi:type="dcterms:W3CDTF">2019-10-28T11:55:00Z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